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2" w:rsidRPr="00B63917" w:rsidRDefault="007A10B2" w:rsidP="007A10B2">
      <w:pPr>
        <w:jc w:val="center"/>
        <w:rPr>
          <w:b/>
          <w:sz w:val="32"/>
          <w:szCs w:val="32"/>
        </w:rPr>
      </w:pPr>
      <w:r w:rsidRPr="00B63917">
        <w:rPr>
          <w:b/>
          <w:sz w:val="32"/>
          <w:szCs w:val="32"/>
        </w:rPr>
        <w:t>Výzva k podání nabídek</w:t>
      </w:r>
    </w:p>
    <w:p w:rsidR="007A10B2" w:rsidRPr="00B63917" w:rsidRDefault="007A10B2" w:rsidP="007A10B2">
      <w:pPr>
        <w:jc w:val="center"/>
        <w:rPr>
          <w:sz w:val="20"/>
          <w:szCs w:val="20"/>
        </w:rPr>
      </w:pPr>
      <w:r w:rsidRPr="00B63917">
        <w:rPr>
          <w:sz w:val="20"/>
          <w:szCs w:val="20"/>
        </w:rPr>
        <w:t xml:space="preserve">(pro účely uveřejnění na </w:t>
      </w:r>
      <w:hyperlink r:id="rId7" w:history="1">
        <w:r w:rsidRPr="00B63917">
          <w:rPr>
            <w:rStyle w:val="Hypertextovodkaz"/>
            <w:sz w:val="20"/>
            <w:szCs w:val="20"/>
          </w:rPr>
          <w:t>www.msmt.cz</w:t>
        </w:r>
      </w:hyperlink>
      <w:r w:rsidRPr="00B63917">
        <w:rPr>
          <w:sz w:val="20"/>
          <w:szCs w:val="20"/>
        </w:rPr>
        <w:t xml:space="preserve"> nebo www stránkách krajů pro zadávání zakázek z prostředků finanční podpory OP VK, které se vztahují na případy, pokud zadavatel </w:t>
      </w:r>
      <w:r w:rsidRPr="00B63917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B63917">
        <w:rPr>
          <w:sz w:val="20"/>
          <w:szCs w:val="20"/>
        </w:rPr>
        <w:t>)</w:t>
      </w:r>
    </w:p>
    <w:p w:rsidR="007A10B2" w:rsidRPr="00B63917" w:rsidRDefault="007A10B2" w:rsidP="007A10B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6495"/>
      </w:tblGrid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Číslo veřejné zakázky</w:t>
            </w:r>
            <w:r w:rsidRPr="00B63917">
              <w:t xml:space="preserve"> (bude doplněno poskytovatelem dotace)</w:t>
            </w:r>
            <w:r w:rsidRPr="00B63917">
              <w:rPr>
                <w:rStyle w:val="Znakapoznpodarou"/>
              </w:rPr>
              <w:footnoteReference w:id="1"/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 programu:</w:t>
            </w:r>
          </w:p>
        </w:tc>
        <w:tc>
          <w:tcPr>
            <w:tcW w:w="6495" w:type="dxa"/>
          </w:tcPr>
          <w:p w:rsidR="007A10B2" w:rsidRPr="00B63917" w:rsidRDefault="007A10B2" w:rsidP="00A33958">
            <w:r w:rsidRPr="00B63917">
              <w:t>Operační program Vzdělávání pro konkurenceschopnost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Registrační číslo projektu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  <w:rPr>
                <w:b/>
              </w:rPr>
            </w:pPr>
            <w:r w:rsidRPr="00B63917">
              <w:rPr>
                <w:b/>
              </w:rPr>
              <w:t>CZ.1.07/1.1.00/44.0007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 projektu: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Rozvoj technického vzdělávání v Jihočeském kraji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 veřejné zakázky: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pStyle w:val="Bezmezer"/>
              <w:rPr>
                <w:rFonts w:eastAsia="Calibri"/>
                <w:b/>
                <w:color w:val="000000"/>
                <w:lang w:eastAsia="en-US"/>
              </w:rPr>
            </w:pPr>
            <w:r w:rsidRPr="00B63917">
              <w:rPr>
                <w:rFonts w:eastAsia="Calibri"/>
                <w:b/>
                <w:color w:val="000000"/>
                <w:lang w:eastAsia="en-US"/>
              </w:rPr>
              <w:t>Dodávka edukačního měřícího systému, včetně potřebného softwaru a školení pedagogických pracovníků</w:t>
            </w:r>
          </w:p>
          <w:p w:rsidR="007A10B2" w:rsidRPr="00B63917" w:rsidRDefault="007A10B2" w:rsidP="00A33958">
            <w:pPr>
              <w:jc w:val="both"/>
              <w:rPr>
                <w:b/>
              </w:rPr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Předmět veřejné zakázky (</w:t>
            </w:r>
            <w:r w:rsidRPr="00B63917">
              <w:t xml:space="preserve">služba/dodávka/stavební práce) </w:t>
            </w:r>
            <w:r w:rsidRPr="00B63917">
              <w:rPr>
                <w:b/>
              </w:rPr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dodávka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Datum vyhlášení veřejné zakázky:</w:t>
            </w:r>
          </w:p>
        </w:tc>
        <w:tc>
          <w:tcPr>
            <w:tcW w:w="6495" w:type="dxa"/>
          </w:tcPr>
          <w:p w:rsidR="007A10B2" w:rsidRPr="00B63917" w:rsidRDefault="00883884" w:rsidP="00A33958">
            <w:pPr>
              <w:jc w:val="both"/>
            </w:pPr>
            <w:r>
              <w:t>17.3.2014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Název/ obchodní firma zadavatele, právní forma: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B63917">
              <w:t>Střední průmyslová škola strojní a stavební Tábor, Komenského 1670</w:t>
            </w:r>
          </w:p>
          <w:p w:rsidR="007A10B2" w:rsidRPr="00B63917" w:rsidRDefault="007A10B2" w:rsidP="00A33958">
            <w:pPr>
              <w:jc w:val="both"/>
            </w:pPr>
            <w:r w:rsidRPr="00B63917">
              <w:t>příspěvková organizace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Sídlo zadavatele: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Komenského 1670, Tábor 390 41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Osoba oprávněná jednat jménem zadavatele</w:t>
            </w:r>
            <w:r w:rsidRPr="00B63917">
              <w:t>, vč. kontaktních údajů (telefon a emailová adresa)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Ing. Marcel Gause - ředitel</w:t>
            </w:r>
          </w:p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7A10B2" w:rsidRPr="00B63917" w:rsidRDefault="007A10B2" w:rsidP="00A33958">
            <w:pPr>
              <w:jc w:val="both"/>
            </w:pPr>
            <w:r w:rsidRPr="00B63917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IČ zadavatele: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B63917">
              <w:rPr>
                <w:color w:val="444444"/>
                <w:shd w:val="clear" w:color="auto" w:fill="FFFFFF"/>
              </w:rPr>
              <w:t>60061863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DIČ zadavatele: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Kontaktní osoba zadavatele</w:t>
            </w:r>
            <w:r w:rsidRPr="00B63917">
              <w:t>, vč. kontaktních údajů (telefon a emailová adresa):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Eva Petrová</w:t>
            </w:r>
          </w:p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381 500 015</w:t>
            </w:r>
          </w:p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eva.petrova@sps-tabor.cz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Lhůta pro podávání nabídek</w:t>
            </w:r>
            <w:r w:rsidRPr="00B63917">
              <w:t xml:space="preserve"> (data zahájení a ukončení příjmu, vč. času)</w:t>
            </w:r>
          </w:p>
        </w:tc>
        <w:tc>
          <w:tcPr>
            <w:tcW w:w="6495" w:type="dxa"/>
          </w:tcPr>
          <w:p w:rsidR="007A10B2" w:rsidRPr="00B132DF" w:rsidRDefault="007A10B2" w:rsidP="00A33958">
            <w:pPr>
              <w:jc w:val="both"/>
            </w:pPr>
            <w:r w:rsidRPr="00B63917">
              <w:t xml:space="preserve">Zahájení:     </w:t>
            </w:r>
            <w:r w:rsidR="00C95B28">
              <w:t>17.3.</w:t>
            </w:r>
            <w:r w:rsidRPr="00B132DF">
              <w:t>2014 v 8:00 hodin</w:t>
            </w:r>
          </w:p>
          <w:p w:rsidR="007A10B2" w:rsidRPr="00B63917" w:rsidRDefault="00B132DF" w:rsidP="00883884">
            <w:pPr>
              <w:jc w:val="both"/>
            </w:pPr>
            <w:r>
              <w:t xml:space="preserve">Ukončení:   </w:t>
            </w:r>
            <w:r w:rsidR="001D0905">
              <w:t>1.4</w:t>
            </w:r>
            <w:r w:rsidR="00883884">
              <w:t>.</w:t>
            </w:r>
            <w:r w:rsidR="007A10B2" w:rsidRPr="00B132DF">
              <w:t>2014 v 12:00 hodin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Termín a místo otevírání obálek</w:t>
            </w:r>
          </w:p>
        </w:tc>
        <w:tc>
          <w:tcPr>
            <w:tcW w:w="6495" w:type="dxa"/>
          </w:tcPr>
          <w:p w:rsidR="007A10B2" w:rsidRPr="00B63917" w:rsidRDefault="00C95B28" w:rsidP="00205381">
            <w:pPr>
              <w:jc w:val="both"/>
            </w:pPr>
            <w:r>
              <w:t>1.4</w:t>
            </w:r>
            <w:r w:rsidR="007A10B2" w:rsidRPr="00B132DF">
              <w:t>.2014</w:t>
            </w:r>
            <w:r w:rsidR="007A10B2" w:rsidRPr="00B63917">
              <w:t xml:space="preserve"> v 13:00 v ředitelně školy, se sídlem Komenského 1670 Tábor, 1. patro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Popis předmětu veřejné zakázky: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B63917">
              <w:rPr>
                <w:sz w:val="22"/>
                <w:szCs w:val="22"/>
              </w:rPr>
              <w:t xml:space="preserve">Předmětem zakázky je modernizace a rozšíření výuky technických a všeobecně vzdělávacích předmětů na Střední průmyslové škole strojní </w:t>
            </w:r>
            <w:r w:rsidRPr="00B63917">
              <w:rPr>
                <w:sz w:val="22"/>
                <w:szCs w:val="22"/>
              </w:rPr>
              <w:lastRenderedPageBreak/>
              <w:t>a stavební Tábor v rámci projektu „Rozvoj technického vzdělávání v Jihočeském kraji“, reg. číslo CZ.1.07/1.1.00/44.0007. Předmětem veřejné zakázky je pořízení sad edukačního měřícího systému pro pokusy a technická praktika, měřícího a autorského softwaru, metodických školení.</w:t>
            </w:r>
          </w:p>
          <w:p w:rsidR="007A10B2" w:rsidRPr="00B63917" w:rsidRDefault="007A10B2" w:rsidP="00A33958">
            <w:pPr>
              <w:jc w:val="both"/>
            </w:pPr>
          </w:p>
          <w:p w:rsidR="007A10B2" w:rsidRPr="00B63917" w:rsidRDefault="007A10B2" w:rsidP="00A33958">
            <w:pPr>
              <w:jc w:val="both"/>
            </w:pPr>
            <w:r w:rsidRPr="00B63917">
              <w:t xml:space="preserve">Podrobné vymezení předmětu plnění veřejné zakázky je uvedeno v příloze č. 2 zadávací dokumentace </w:t>
            </w:r>
            <w:r w:rsidRPr="00B63917">
              <w:rPr>
                <w:i/>
              </w:rPr>
              <w:t xml:space="preserve">„Technická specifikace zakázky“ </w:t>
            </w:r>
            <w:r w:rsidRPr="00B63917">
              <w:t>(samostatná příloha).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lastRenderedPageBreak/>
              <w:t>Předpokládaná hodnota veřejné zakázky v Kč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883884" w:rsidP="00883884">
            <w:pPr>
              <w:jc w:val="both"/>
            </w:pPr>
            <w:r>
              <w:rPr>
                <w:b/>
                <w:sz w:val="22"/>
                <w:szCs w:val="22"/>
              </w:rPr>
              <w:t>701 049</w:t>
            </w:r>
            <w:r w:rsidR="007A10B2" w:rsidRPr="0060141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  <w:r w:rsidR="007A10B2" w:rsidRPr="0060141D">
              <w:rPr>
                <w:b/>
                <w:sz w:val="22"/>
                <w:szCs w:val="22"/>
              </w:rPr>
              <w:t xml:space="preserve"> Kč bez DPH</w:t>
            </w:r>
            <w:r w:rsidR="00B132DF">
              <w:rPr>
                <w:b/>
                <w:sz w:val="22"/>
                <w:szCs w:val="22"/>
              </w:rPr>
              <w:t>,</w:t>
            </w:r>
            <w:r w:rsidR="007A10B2" w:rsidRPr="0060141D">
              <w:rPr>
                <w:b/>
                <w:sz w:val="22"/>
                <w:szCs w:val="22"/>
              </w:rPr>
              <w:t xml:space="preserve"> </w:t>
            </w:r>
            <w:r w:rsidR="007A10B2" w:rsidRPr="00B132DF">
              <w:rPr>
                <w:b/>
                <w:sz w:val="22"/>
                <w:szCs w:val="22"/>
              </w:rPr>
              <w:t>(848 270,- Kč včetně DPH)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Typ veřejné zakázky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Veřejná zakázka malého rozsahu, nejedná se o zadávací řízení podle zákona č. 137/2006 Sb., o veřejných zakázkách, ve znění pozdějších předpisů.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Lhůta pro dodání</w:t>
            </w:r>
            <w:r w:rsidRPr="00B63917">
              <w:t xml:space="preserve"> (zpracování veřejné zakázky)/ časový harmonogram plnění/ doba trvání veřejné zakázky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 xml:space="preserve">Doba plnění veřejné zakázky je stanovena </w:t>
            </w:r>
            <w:r w:rsidRPr="00B63917">
              <w:rPr>
                <w:b/>
              </w:rPr>
              <w:t>dle čl. VI</w:t>
            </w:r>
            <w:r w:rsidRPr="00B63917">
              <w:t xml:space="preserve"> Kupní smlouvy (</w:t>
            </w:r>
            <w:r w:rsidRPr="00B63917">
              <w:rPr>
                <w:i/>
              </w:rPr>
              <w:t>Příloha č. 3 Zadávací dokumentace</w:t>
            </w:r>
            <w:r w:rsidRPr="00B63917">
              <w:t>), která je pro uchazeče závazná.</w:t>
            </w:r>
          </w:p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 xml:space="preserve">Dodávka </w:t>
            </w:r>
            <w:r>
              <w:t>musí být plněna uceleně, tzn. všechny části systému pro měření a experimenty s podporou PC včetně softwaru.</w:t>
            </w:r>
          </w:p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>Školení pro učite</w:t>
            </w:r>
            <w:r>
              <w:t>le bude probíhat po dodání</w:t>
            </w:r>
            <w:r w:rsidRPr="00B63917">
              <w:t xml:space="preserve"> dodávky.</w:t>
            </w:r>
          </w:p>
          <w:p w:rsidR="007A10B2" w:rsidRPr="00B63917" w:rsidRDefault="007A10B2" w:rsidP="00A33958">
            <w:pPr>
              <w:jc w:val="both"/>
              <w:rPr>
                <w:b/>
                <w:i/>
              </w:rPr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Místa dodání/převzetí plnění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Hodnotící kritéria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pStyle w:val="Odstavecseseznamem"/>
              <w:ind w:left="0"/>
              <w:jc w:val="both"/>
            </w:pPr>
            <w:r w:rsidRPr="00B63917">
              <w:t>Nejnižší nabídková cena vč. DPH (váha 100 %)</w:t>
            </w:r>
          </w:p>
          <w:p w:rsidR="007A10B2" w:rsidRPr="00B63917" w:rsidRDefault="007A10B2" w:rsidP="00A33958">
            <w:pPr>
              <w:pStyle w:val="Odstavecseseznamem"/>
              <w:spacing w:before="60" w:after="60"/>
              <w:ind w:left="0"/>
              <w:jc w:val="both"/>
              <w:rPr>
                <w:b/>
              </w:rPr>
            </w:pPr>
            <w:r w:rsidRPr="00B63917">
              <w:rPr>
                <w:b/>
              </w:rPr>
              <w:t>Nabídky budou vyloučeny ze soutěže za těchto podmínek: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nesplňující požadavky podle soutěžních podmínek, zejména technické požadavky,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zjistí-li zadavatel kdykoli v průběhu soutěže, že uchazeč uvedl v předložených nabídkách nepravdivé údaje,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nabídková cena překročila předpokládanou hodnotu zakázky,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nabídka byla předložena po stanovené lhůtě.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Požadavky na prokázání splnění základní a profesní kvalifikace dodavatele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7A10B2">
            <w:pPr>
              <w:pStyle w:val="Textpoznpodarou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>Základní kvalifikační předpoklady</w:t>
            </w:r>
            <w:r w:rsidRPr="00B63917">
              <w:rPr>
                <w:sz w:val="24"/>
                <w:szCs w:val="24"/>
              </w:rPr>
              <w:t xml:space="preserve"> podle §53 odst. 1 zákona č. 137/2006 Sb., o veřejných zakázkách, v platném znění, doloží uchazeč v nabídce čestným prohlášením (vzor čestného prohlášení </w:t>
            </w:r>
            <w:r w:rsidRPr="00B63917">
              <w:rPr>
                <w:i/>
                <w:sz w:val="24"/>
                <w:szCs w:val="24"/>
              </w:rPr>
              <w:t>Příloha č. 4 Zadávací dokumentace)</w:t>
            </w:r>
            <w:r w:rsidRPr="00B63917">
              <w:rPr>
                <w:sz w:val="24"/>
                <w:szCs w:val="24"/>
              </w:rPr>
              <w:t>,</w:t>
            </w:r>
          </w:p>
          <w:p w:rsidR="007A10B2" w:rsidRPr="00B63917" w:rsidRDefault="007A10B2" w:rsidP="007A10B2">
            <w:pPr>
              <w:pStyle w:val="Textpoznpodarou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 xml:space="preserve">Výpis z obchodního rejstříku, </w:t>
            </w:r>
            <w:r w:rsidRPr="00B63917">
              <w:rPr>
                <w:sz w:val="24"/>
                <w:szCs w:val="24"/>
              </w:rPr>
              <w:t>pokud je v něm zapsán, či výpis z jiné obdobné evidence, pokud je v ní zapsán. Tento výpis nesmí být starší 90 kalendářních dnů ke dni podání nabídky (prostá kopie),</w:t>
            </w:r>
          </w:p>
          <w:p w:rsidR="007A10B2" w:rsidRPr="00B63917" w:rsidRDefault="007A10B2" w:rsidP="007A10B2">
            <w:pPr>
              <w:pStyle w:val="Textpoznpodarou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>Doklad o oprávnění k podnikání</w:t>
            </w:r>
            <w:r w:rsidRPr="00B63917">
              <w:rPr>
                <w:sz w:val="24"/>
                <w:szCs w:val="24"/>
              </w:rPr>
              <w:t xml:space="preserve"> podle zvláštních právních předpisů v rozsahu odpovídajícím předmětu veřejné zakázky, zejména doklad prokazující příslušné </w:t>
            </w:r>
            <w:r w:rsidRPr="00B63917">
              <w:rPr>
                <w:sz w:val="24"/>
                <w:szCs w:val="24"/>
              </w:rPr>
              <w:lastRenderedPageBreak/>
              <w:t>živnostenské oprávnění či licenci (prostá kopie).</w:t>
            </w:r>
          </w:p>
          <w:p w:rsidR="007A10B2" w:rsidRPr="00B63917" w:rsidRDefault="007A10B2" w:rsidP="00A33958">
            <w:pPr>
              <w:pStyle w:val="Textpoznpodarou"/>
              <w:rPr>
                <w:i/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>Originál či ověřenou kopii předloží pouze vybraný uchazeč před podpisem smlouvy.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lastRenderedPageBreak/>
              <w:t>Požadavek na uvedení kontaktní osoby uchazeče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Uchazeč ve své nabídce uvede kontaktní osobu ve věci zakázky, její telefon a e-mailovou adresu.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 xml:space="preserve">Požadavek na písemnou formu nabídky </w:t>
            </w:r>
            <w:r w:rsidRPr="00B63917">
              <w:t>(včetně požadavků na písemné zpracování smlouvy dodavatelem)</w:t>
            </w:r>
            <w:r w:rsidRPr="00B63917">
              <w:rPr>
                <w:b/>
              </w:rPr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Nabídku podá uchazeč písemně, a to v 1 originále a 1 kopii. Uchazeč podává nabídku ve lhůtě pro podání nabídek. Nabídka v listinné podobě musí být podána v řádně uzavřené a neporušené obálce opatřené na uzavření podpisem uchazeče, označené názvem veřejné zakázky, tj. „</w:t>
            </w:r>
            <w:r w:rsidRPr="00B63917">
              <w:rPr>
                <w:rFonts w:eastAsia="Calibri"/>
                <w:b/>
                <w:color w:val="000000"/>
                <w:lang w:eastAsia="en-US"/>
              </w:rPr>
              <w:t>Dodávka edukačního měřícího systému, včetně potřebného softwaru a školení pedagogických pracovníků</w:t>
            </w:r>
            <w:r w:rsidRPr="00B63917">
              <w:rPr>
                <w:b/>
              </w:rPr>
              <w:t xml:space="preserve">“, </w:t>
            </w:r>
            <w:r w:rsidRPr="00176360">
              <w:t>projekt</w:t>
            </w:r>
            <w:r w:rsidRPr="00B63917">
              <w:rPr>
                <w:b/>
              </w:rPr>
              <w:t xml:space="preserve"> „Rozvoj technického vzdělávání“</w:t>
            </w:r>
            <w:r w:rsidRPr="00B63917">
              <w:t xml:space="preserve"> a údajem „NEOTVÍRAT“. Dále musí být na obálce uvedena adresa dodavatele, na kterou je možno zaslat oznámení.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Nabídku doručte na adresu: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Střední průmyslová škola strojní a stavební Tábor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Komenského 1670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390 41 Tábor</w:t>
            </w:r>
          </w:p>
          <w:p w:rsidR="007A10B2" w:rsidRPr="00B63917" w:rsidRDefault="007A10B2" w:rsidP="00A33958">
            <w:pPr>
              <w:spacing w:before="60" w:after="60"/>
              <w:jc w:val="both"/>
              <w:rPr>
                <w:b/>
              </w:rPr>
            </w:pPr>
            <w:r w:rsidRPr="00B63917">
              <w:rPr>
                <w:b/>
              </w:rPr>
              <w:t>Kupní smlouva</w:t>
            </w:r>
          </w:p>
          <w:p w:rsidR="007A10B2" w:rsidRPr="00B63917" w:rsidRDefault="007A10B2" w:rsidP="00A33958">
            <w:pPr>
              <w:jc w:val="both"/>
              <w:rPr>
                <w:i/>
              </w:rPr>
            </w:pPr>
            <w:r w:rsidRPr="00B63917">
              <w:t>Uchazeč je povinen předložit jako nabídku vyplněnou smlouvu podepsanou osobou oprávněnou jednat jménem uchazeče. Uchazeč nesmí měnit obsah předložené smlouvy mimo údaje povolené / k doplnění.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>Viz samostatná zadávací dokumentace.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Povinnost uchovávat doklady a umožnit kontrolu: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Smlouva s vybraným dodavatelem musí zavazovat dodavatele, aby umožnil všem subjektům oprávněným k výkonu kontroly projektu, z jehož prostředků je dodávka hrazena, provést kontrolu dokladů souvisejících s plněním veřejné zakázky, a to po dobu danou právními předpisy ČR k jejich archivaci minimálně do roku 2025 (zákon č. 563/1991 Sb., o účetnictví, a zákon č. 235/2004 Sb., o dani z přidané hodnoty).</w:t>
            </w:r>
          </w:p>
          <w:p w:rsidR="007A10B2" w:rsidRPr="00B63917" w:rsidRDefault="007A10B2" w:rsidP="00A33958">
            <w:pPr>
              <w:jc w:val="both"/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Další podmínky pro plnění veřejné zakázky: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Nabídka musí být podána v českém jazyce.</w:t>
            </w:r>
          </w:p>
          <w:p w:rsidR="007A10B2" w:rsidRPr="00B63917" w:rsidRDefault="007A10B2" w:rsidP="00A33958">
            <w:pPr>
              <w:jc w:val="both"/>
            </w:pPr>
            <w:r w:rsidRPr="00B63917">
              <w:t xml:space="preserve">Uchazeč bere na vědomí, že zadavatel je povinen dodržet požadavky na publicitu v rámci programů strukturálních fondů Evropské unie stanovené v obecně závazných předpisech (zejména nařízením Komise (ES) č. 1828/2006) a příručkách vydaných Řídícím orgánem OP VK, a to ve všech relevantních dokumentech týkajících se daného zadávacího/výběrového řízení, tj. zejména ve smlouvách a dalších dokumentech </w:t>
            </w:r>
            <w:r w:rsidRPr="00B63917">
              <w:lastRenderedPageBreak/>
              <w:t>vztahujících se k dané zakázce.</w:t>
            </w:r>
          </w:p>
        </w:tc>
      </w:tr>
      <w:tr w:rsidR="007A10B2" w:rsidRPr="00B63917" w:rsidTr="00A33958">
        <w:tc>
          <w:tcPr>
            <w:tcW w:w="2793" w:type="dxa"/>
            <w:tcBorders>
              <w:bottom w:val="single" w:sz="4" w:space="0" w:color="000000"/>
            </w:tcBorders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6495" w:type="dxa"/>
            <w:tcBorders>
              <w:bottom w:val="single" w:sz="4" w:space="0" w:color="000000"/>
            </w:tcBorders>
          </w:tcPr>
          <w:p w:rsidR="007A10B2" w:rsidRPr="00B63917" w:rsidRDefault="007A10B2" w:rsidP="00A33958">
            <w:pPr>
              <w:spacing w:line="280" w:lineRule="atLeast"/>
              <w:jc w:val="both"/>
              <w:rPr>
                <w:i/>
              </w:rPr>
            </w:pPr>
            <w:r w:rsidRPr="00B63917">
              <w:rPr>
                <w:color w:val="000000"/>
              </w:rPr>
              <w:t>Zadávací dokumentace a příloha č. 2 Technická specifikace zakázky jsou ke stažení na webové stránce zadavatele (</w:t>
            </w:r>
            <w:hyperlink r:id="rId8" w:history="1">
              <w:r w:rsidRPr="00B63917">
                <w:rPr>
                  <w:rStyle w:val="Hypertextovodkaz"/>
                </w:rPr>
                <w:t>www.sps-tabor.cz</w:t>
              </w:r>
            </w:hyperlink>
            <w:r w:rsidRPr="00B63917">
              <w:rPr>
                <w:color w:val="000000"/>
              </w:rPr>
              <w:t>) v sekci Výběrová řízení</w:t>
            </w:r>
          </w:p>
        </w:tc>
      </w:tr>
      <w:tr w:rsidR="007A10B2" w:rsidRPr="00B63917" w:rsidTr="00A33958">
        <w:tc>
          <w:tcPr>
            <w:tcW w:w="9288" w:type="dxa"/>
            <w:gridSpan w:val="2"/>
            <w:shd w:val="clear" w:color="auto" w:fill="BFBFBF"/>
          </w:tcPr>
          <w:p w:rsidR="007A10B2" w:rsidRPr="00B63917" w:rsidRDefault="007A10B2" w:rsidP="00A33958">
            <w:pPr>
              <w:jc w:val="both"/>
              <w:rPr>
                <w:b/>
              </w:rPr>
            </w:pPr>
            <w:r w:rsidRPr="00B63917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jc w:val="both"/>
      </w:pPr>
      <w:r w:rsidRPr="00B63917">
        <w:t xml:space="preserve">Kontaktní osoba pro případ doplnění formuláře před jeho uveřejněním na </w:t>
      </w:r>
      <w:hyperlink r:id="rId9" w:history="1">
        <w:r w:rsidRPr="00B63917">
          <w:rPr>
            <w:rStyle w:val="Hypertextovodkaz"/>
          </w:rPr>
          <w:t>www.msmt.cz</w:t>
        </w:r>
      </w:hyperlink>
      <w:r w:rsidRPr="00B63917">
        <w:t>/.</w:t>
      </w:r>
    </w:p>
    <w:p w:rsidR="007A10B2" w:rsidRPr="00B63917" w:rsidRDefault="007A10B2" w:rsidP="007A10B2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Marcel</w:t>
            </w:r>
          </w:p>
        </w:tc>
      </w:tr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Gause</w:t>
            </w:r>
          </w:p>
        </w:tc>
      </w:tr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marcel.gause@sps-tabor.cz</w:t>
            </w:r>
          </w:p>
        </w:tc>
      </w:tr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608 117 020</w:t>
            </w:r>
          </w:p>
        </w:tc>
      </w:tr>
    </w:tbl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B63917">
        <w:rPr>
          <w:rFonts w:ascii="Times New Roman" w:hAnsi="Times New Roman" w:cs="Times New Roman"/>
          <w:sz w:val="24"/>
          <w:szCs w:val="24"/>
          <w:lang w:val="cs-CZ"/>
        </w:rPr>
        <w:t xml:space="preserve">V Táboře, </w:t>
      </w:r>
      <w:r w:rsidR="003A2B3A">
        <w:rPr>
          <w:rFonts w:ascii="Times New Roman" w:hAnsi="Times New Roman" w:cs="Times New Roman"/>
          <w:sz w:val="24"/>
          <w:szCs w:val="24"/>
          <w:lang w:val="cs-CZ"/>
        </w:rPr>
        <w:t>24</w:t>
      </w:r>
      <w:r w:rsidR="009E44BB">
        <w:rPr>
          <w:rFonts w:ascii="Times New Roman" w:hAnsi="Times New Roman" w:cs="Times New Roman"/>
          <w:sz w:val="24"/>
          <w:szCs w:val="24"/>
          <w:lang w:val="cs-CZ"/>
        </w:rPr>
        <w:t>.3.2014</w:t>
      </w: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D97525">
      <w:pPr>
        <w:pStyle w:val="Zkladntext"/>
        <w:tabs>
          <w:tab w:val="clear" w:pos="720"/>
          <w:tab w:val="left" w:pos="426"/>
        </w:tabs>
      </w:pP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7A10B2" w:rsidRPr="00B63917" w:rsidRDefault="007A10B2" w:rsidP="007A10B2"/>
    <w:p w:rsidR="007A10B2" w:rsidRPr="00B63917" w:rsidRDefault="007A10B2" w:rsidP="007A10B2"/>
    <w:p w:rsidR="007A10B2" w:rsidRPr="00B63917" w:rsidRDefault="007A10B2" w:rsidP="007A10B2">
      <w:pPr>
        <w:tabs>
          <w:tab w:val="left" w:pos="2265"/>
        </w:tabs>
      </w:pPr>
      <w:r w:rsidRPr="00B63917">
        <w:tab/>
      </w:r>
    </w:p>
    <w:p w:rsidR="003738B7" w:rsidRDefault="003738B7"/>
    <w:sectPr w:rsidR="003738B7" w:rsidSect="00A339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28" w:rsidRDefault="00C95B28" w:rsidP="007A10B2">
      <w:r>
        <w:separator/>
      </w:r>
    </w:p>
  </w:endnote>
  <w:endnote w:type="continuationSeparator" w:id="0">
    <w:p w:rsidR="00C95B28" w:rsidRDefault="00C95B28" w:rsidP="007A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8" w:rsidRDefault="00C95B28" w:rsidP="00A33958">
    <w:pPr>
      <w:pStyle w:val="Zpat"/>
      <w:jc w:val="center"/>
      <w:rPr>
        <w:sz w:val="20"/>
        <w:szCs w:val="20"/>
      </w:rPr>
    </w:pPr>
  </w:p>
  <w:p w:rsidR="00C95B28" w:rsidRDefault="00C95B28" w:rsidP="00A33958">
    <w:pPr>
      <w:pStyle w:val="Zpat"/>
      <w:jc w:val="center"/>
      <w:rPr>
        <w:sz w:val="20"/>
        <w:szCs w:val="20"/>
      </w:rPr>
    </w:pPr>
  </w:p>
  <w:p w:rsidR="00C95B28" w:rsidRDefault="00C95B28" w:rsidP="00A33958">
    <w:pPr>
      <w:pStyle w:val="Zpat"/>
    </w:pPr>
  </w:p>
  <w:p w:rsidR="00C95B28" w:rsidRPr="007F7162" w:rsidRDefault="00C95B28" w:rsidP="00A33958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81135D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81135D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28" w:rsidRDefault="00C95B28" w:rsidP="007A10B2">
      <w:r>
        <w:separator/>
      </w:r>
    </w:p>
  </w:footnote>
  <w:footnote w:type="continuationSeparator" w:id="0">
    <w:p w:rsidR="00C95B28" w:rsidRDefault="00C95B28" w:rsidP="007A10B2">
      <w:r>
        <w:continuationSeparator/>
      </w:r>
    </w:p>
  </w:footnote>
  <w:footnote w:id="1">
    <w:p w:rsidR="00C95B28" w:rsidRDefault="00C95B28" w:rsidP="007A10B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8" w:rsidRDefault="00C95B28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57A"/>
    <w:multiLevelType w:val="hybridMultilevel"/>
    <w:tmpl w:val="DA16F9F4"/>
    <w:lvl w:ilvl="0" w:tplc="0405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342D"/>
    <w:multiLevelType w:val="hybridMultilevel"/>
    <w:tmpl w:val="983A87E6"/>
    <w:lvl w:ilvl="0" w:tplc="00A4E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B2"/>
    <w:rsid w:val="00100EB7"/>
    <w:rsid w:val="001D0905"/>
    <w:rsid w:val="00205381"/>
    <w:rsid w:val="0026740F"/>
    <w:rsid w:val="003738B7"/>
    <w:rsid w:val="003A2B3A"/>
    <w:rsid w:val="00745399"/>
    <w:rsid w:val="007827DE"/>
    <w:rsid w:val="007A10B2"/>
    <w:rsid w:val="007B4B64"/>
    <w:rsid w:val="0081135D"/>
    <w:rsid w:val="00883884"/>
    <w:rsid w:val="00936121"/>
    <w:rsid w:val="009C0283"/>
    <w:rsid w:val="009E44BB"/>
    <w:rsid w:val="00A33958"/>
    <w:rsid w:val="00AA2A42"/>
    <w:rsid w:val="00AE1AC5"/>
    <w:rsid w:val="00B132DF"/>
    <w:rsid w:val="00C95B28"/>
    <w:rsid w:val="00D14C5C"/>
    <w:rsid w:val="00D50C26"/>
    <w:rsid w:val="00D97525"/>
    <w:rsid w:val="00E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0B2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A10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10B2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7A10B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A10B2"/>
    <w:rPr>
      <w:rFonts w:ascii="Arial" w:eastAsia="Times New Roman" w:hAnsi="Arial" w:cs="Arial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7A1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0B2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1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0B2"/>
    <w:rPr>
      <w:rFonts w:eastAsia="Times New Roman"/>
      <w:sz w:val="24"/>
      <w:szCs w:val="24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7A10B2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7A10B2"/>
    <w:rPr>
      <w:rFonts w:eastAsia="Times New Roman"/>
    </w:rPr>
  </w:style>
  <w:style w:type="character" w:styleId="Znakapoznpodarou">
    <w:name w:val="footnote reference"/>
    <w:basedOn w:val="Standardnpsmoodstavce"/>
    <w:semiHidden/>
    <w:rsid w:val="007A10B2"/>
    <w:rPr>
      <w:vertAlign w:val="superscript"/>
    </w:rPr>
  </w:style>
  <w:style w:type="paragraph" w:styleId="Bezmezer">
    <w:name w:val="No Spacing"/>
    <w:uiPriority w:val="99"/>
    <w:qFormat/>
    <w:rsid w:val="007A10B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-tab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Petrova</cp:lastModifiedBy>
  <cp:revision>2</cp:revision>
  <cp:lastPrinted>2014-03-11T12:56:00Z</cp:lastPrinted>
  <dcterms:created xsi:type="dcterms:W3CDTF">2014-03-24T09:50:00Z</dcterms:created>
  <dcterms:modified xsi:type="dcterms:W3CDTF">2014-03-24T09:50:00Z</dcterms:modified>
</cp:coreProperties>
</file>